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Evangelische Theologie</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spacing w:after="0" w:line="240" w:lineRule="auto"/>
        <w:rPr>
          <w:rFonts w:ascii="Arial" w:eastAsia="Times New Roman" w:hAnsi="Arial" w:cs="Arial"/>
          <w:sz w:val="20"/>
          <w:szCs w:val="28"/>
          <w:lang w:eastAsia="de-D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lang w:eastAsia="ja-JP"/>
              </w:rPr>
            </w:pPr>
            <w:r>
              <w:rPr>
                <w:rFonts w:ascii="Arial" w:eastAsia="MS Mincho" w:hAnsi="Arial" w:cs="Arial"/>
                <w:b/>
                <w:lang w:eastAsia="ja-JP"/>
              </w:rPr>
              <w:t>Mentor/-in:</w:t>
            </w:r>
            <w:r>
              <w:rPr>
                <w:rFonts w:ascii="Arial" w:eastAsia="MS Mincho" w:hAnsi="Arial" w:cs="Arial"/>
                <w:lang w:eastAsia="ja-JP"/>
              </w:rPr>
              <w:t xml:space="preserve"> </w:t>
            </w: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Unterrichtliche Handlungskompetenzen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unter Bezug auf den Bildungsplan verständliche, eindeutige und begründete religiöse Kompetenzen und </w:t>
            </w:r>
            <w:r>
              <w:rPr>
                <w:rFonts w:ascii="Arial" w:eastAsia="MS Mincho" w:hAnsi="Arial" w:cs="Arial"/>
                <w:b/>
                <w:lang w:eastAsia="ja-JP"/>
              </w:rPr>
              <w:t>Lernziele</w:t>
            </w:r>
            <w:r>
              <w:rPr>
                <w:rFonts w:ascii="Arial" w:eastAsia="MS Mincho" w:hAnsi="Arial" w:cs="Arial"/>
                <w:lang w:eastAsia="ja-JP"/>
              </w:rPr>
              <w:t xml:space="preserve">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Unterricht in sinnvolle und aufeinander aufbauende Schritte einteilen.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in </w:t>
            </w:r>
            <w:r>
              <w:rPr>
                <w:rFonts w:ascii="Arial" w:eastAsia="MS Mincho" w:hAnsi="Arial" w:cs="Arial"/>
                <w:b/>
                <w:lang w:eastAsia="ja-JP"/>
              </w:rPr>
              <w:t>Auftreten</w:t>
            </w:r>
            <w:r>
              <w:rPr>
                <w:rFonts w:ascii="Arial" w:eastAsia="MS Mincho" w:hAnsi="Arial" w:cs="Arial"/>
                <w:lang w:eastAsia="ja-JP"/>
              </w:rPr>
              <w:t>, Gestik, Sprache, Verhalten den Unterricht angemessen 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durch angemessene </w:t>
            </w:r>
            <w:r>
              <w:rPr>
                <w:rFonts w:ascii="Arial" w:eastAsia="MS Mincho" w:hAnsi="Arial" w:cs="Arial"/>
                <w:b/>
                <w:lang w:eastAsia="ja-JP"/>
              </w:rPr>
              <w:t>Motivation, Impulssetzung und Arbeitsanweisungen</w:t>
            </w:r>
            <w:r>
              <w:rPr>
                <w:rFonts w:ascii="Arial" w:eastAsia="MS Mincho" w:hAnsi="Arial" w:cs="Arial"/>
                <w:lang w:eastAsia="ja-JP"/>
              </w:rPr>
              <w:t xml:space="preserve"> die Schüler:innen zum Gespräch und zur eigenständigen Mitarbeit motivieren.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ein den gewählten Lernzielen entsprechendes </w:t>
            </w:r>
            <w:r>
              <w:rPr>
                <w:rFonts w:ascii="Arial" w:eastAsia="MS Mincho" w:hAnsi="Arial" w:cs="Arial"/>
                <w:b/>
                <w:lang w:eastAsia="ja-JP"/>
              </w:rPr>
              <w:t>methodisches Vorgehen</w:t>
            </w:r>
            <w:r>
              <w:rPr>
                <w:rFonts w:ascii="Arial" w:eastAsia="MS Mincho" w:hAnsi="Arial" w:cs="Arial"/>
                <w:lang w:eastAsia="ja-JP"/>
              </w:rPr>
              <w:t xml:space="preserve"> aufweisen.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Gespräche sinnvoll moderieren und Schüleräußerungen und –tätigkeiten angemessen bewerten.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 xml:space="preserve">einen Bezug zu einschlägigen </w:t>
            </w:r>
            <w:r>
              <w:rPr>
                <w:rFonts w:ascii="Arial" w:eastAsia="MS Mincho" w:hAnsi="Arial" w:cs="Arial"/>
                <w:b/>
                <w:lang w:eastAsia="ja-JP"/>
              </w:rPr>
              <w:t>Erfahrungen</w:t>
            </w:r>
            <w:r>
              <w:rPr>
                <w:rFonts w:ascii="Arial" w:eastAsia="MS Mincho" w:hAnsi="Arial" w:cs="Arial"/>
                <w:lang w:eastAsia="ja-JP"/>
              </w:rPr>
              <w:t xml:space="preserve"> der Schülerinnen und Schüler herstellen und deren Entwicklungsstand, Interessen und Zugangsweisen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rPr>
                <w:rFonts w:ascii="Arial" w:eastAsia="MS Mincho" w:hAnsi="Arial" w:cs="Arial"/>
                <w:b/>
                <w:lang w:eastAsia="ja-JP"/>
              </w:rPr>
            </w:pPr>
            <w:r>
              <w:rPr>
                <w:rFonts w:ascii="Arial" w:eastAsia="MS Mincho" w:hAnsi="Arial" w:cs="Arial"/>
                <w:b/>
                <w:lang w:eastAsia="ja-JP"/>
              </w:rPr>
              <w:t>Reflektieren</w:t>
            </w:r>
          </w:p>
          <w:p>
            <w:pPr>
              <w:spacing w:after="0" w:line="240" w:lineRule="auto"/>
              <w:rPr>
                <w:rFonts w:ascii="Arial" w:hAnsi="Arial" w:cs="Arial"/>
                <w:b/>
              </w:rPr>
            </w:pPr>
            <w:r>
              <w:rPr>
                <w:rFonts w:ascii="Arial" w:eastAsia="MS Mincho" w:hAnsi="Arial" w:cs="Arial"/>
                <w:lang w:eastAsia="ja-JP"/>
              </w:rPr>
              <w:t>Der/die Studierende kann durch eigene Erfahrung und Unterrichtsbesprechungen ihren/seinen Unterricht angemessen reflektieren und Konsequenzen für die weitere professionelle Entwicklung ableiten und zwar im Blick auf:</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personale Faktoren (Auftreten, Gestik, Sprache, Verhalten der Lehrperson)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Unterrichtsaufbau und -führung (Lernziel, Lernfortschritt und Stundengliederung)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6096" w:type="dxa"/>
            <w:gridSpan w:val="2"/>
            <w:vAlign w:val="center"/>
          </w:tcPr>
          <w:p>
            <w:pPr>
              <w:spacing w:after="0"/>
              <w:rPr>
                <w:rFonts w:ascii="Arial" w:eastAsia="MS Mincho" w:hAnsi="Arial" w:cs="Arial"/>
                <w:b/>
                <w:lang w:eastAsia="ja-JP"/>
              </w:rPr>
            </w:pPr>
            <w:r>
              <w:rPr>
                <w:rFonts w:ascii="Arial" w:eastAsia="MS Mincho" w:hAnsi="Arial" w:cs="Arial"/>
                <w:b/>
                <w:lang w:eastAsia="ja-JP"/>
              </w:rPr>
              <w:lastRenderedPageBreak/>
              <w:t>Unterrichtsentwurf</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after="0" w:line="259" w:lineRule="auto"/>
              <w:ind w:right="57"/>
              <w:jc w:val="both"/>
              <w:rPr>
                <w:rFonts w:ascii="Arial" w:eastAsia="Arial" w:hAnsi="Arial" w:cs="Arial"/>
              </w:rPr>
            </w:pPr>
            <w:r>
              <w:rPr>
                <w:rFonts w:ascii="Arial" w:eastAsia="Arial" w:hAnsi="Arial" w:cs="Arial"/>
                <w:b/>
              </w:rPr>
              <w:t xml:space="preserve">theologische </w:t>
            </w:r>
            <w:r>
              <w:rPr>
                <w:rFonts w:ascii="Arial" w:eastAsia="Arial" w:hAnsi="Arial" w:cs="Arial"/>
                <w:b/>
                <w:w w:val="104"/>
              </w:rPr>
              <w:t xml:space="preserve">Sachinformationen </w:t>
            </w:r>
            <w:r>
              <w:rPr>
                <w:rFonts w:ascii="Arial" w:eastAsia="Arial" w:hAnsi="Arial" w:cs="Arial"/>
              </w:rPr>
              <w:t>zu</w:t>
            </w:r>
            <w:r>
              <w:rPr>
                <w:rFonts w:ascii="Arial" w:eastAsia="Arial" w:hAnsi="Arial" w:cs="Arial"/>
                <w:spacing w:val="8"/>
              </w:rPr>
              <w:t xml:space="preserve"> </w:t>
            </w:r>
            <w:r>
              <w:rPr>
                <w:rFonts w:ascii="Arial" w:eastAsia="Arial" w:hAnsi="Arial" w:cs="Arial"/>
              </w:rPr>
              <w:t>einem</w:t>
            </w:r>
            <w:r>
              <w:rPr>
                <w:rFonts w:ascii="Arial" w:eastAsia="Arial" w:hAnsi="Arial" w:cs="Arial"/>
                <w:spacing w:val="14"/>
              </w:rPr>
              <w:t xml:space="preserve"> </w:t>
            </w:r>
            <w:r>
              <w:rPr>
                <w:rFonts w:ascii="Arial" w:eastAsia="Arial" w:hAnsi="Arial" w:cs="Arial"/>
              </w:rPr>
              <w:t>Thema</w:t>
            </w:r>
            <w:r>
              <w:rPr>
                <w:rFonts w:ascii="Arial" w:eastAsia="Arial" w:hAnsi="Arial" w:cs="Arial"/>
                <w:spacing w:val="19"/>
              </w:rPr>
              <w:t xml:space="preserve"> </w:t>
            </w:r>
            <w:r>
              <w:rPr>
                <w:rFonts w:ascii="Arial" w:eastAsia="Arial" w:hAnsi="Arial" w:cs="Arial"/>
              </w:rPr>
              <w:t>sammeln,</w:t>
            </w:r>
            <w:r>
              <w:rPr>
                <w:rFonts w:ascii="Arial" w:eastAsia="Arial" w:hAnsi="Arial" w:cs="Arial"/>
                <w:spacing w:val="25"/>
              </w:rPr>
              <w:t xml:space="preserve"> </w:t>
            </w:r>
            <w:r>
              <w:rPr>
                <w:rFonts w:ascii="Arial" w:eastAsia="Arial" w:hAnsi="Arial" w:cs="Arial"/>
              </w:rPr>
              <w:t>sachgemäß</w:t>
            </w:r>
            <w:r>
              <w:rPr>
                <w:rFonts w:ascii="Arial" w:eastAsia="Arial" w:hAnsi="Arial" w:cs="Arial"/>
                <w:spacing w:val="30"/>
              </w:rPr>
              <w:t xml:space="preserve"> </w:t>
            </w:r>
            <w:r>
              <w:rPr>
                <w:rFonts w:ascii="Arial" w:eastAsia="Arial" w:hAnsi="Arial" w:cs="Arial"/>
                <w:w w:val="103"/>
              </w:rPr>
              <w:t xml:space="preserve">zuordnen </w:t>
            </w:r>
            <w:r>
              <w:rPr>
                <w:rFonts w:ascii="Arial" w:eastAsia="Arial" w:hAnsi="Arial" w:cs="Arial"/>
              </w:rPr>
              <w:t>und</w:t>
            </w:r>
            <w:r>
              <w:rPr>
                <w:rFonts w:ascii="Arial" w:eastAsia="Arial" w:hAnsi="Arial" w:cs="Arial"/>
                <w:spacing w:val="11"/>
              </w:rPr>
              <w:t xml:space="preserve"> </w:t>
            </w:r>
            <w:r>
              <w:rPr>
                <w:rFonts w:ascii="Arial" w:eastAsia="Arial" w:hAnsi="Arial" w:cs="Arial"/>
              </w:rPr>
              <w:t>zentrale</w:t>
            </w:r>
            <w:r>
              <w:rPr>
                <w:rFonts w:ascii="Arial" w:eastAsia="Arial" w:hAnsi="Arial" w:cs="Arial"/>
                <w:spacing w:val="21"/>
              </w:rPr>
              <w:t xml:space="preserve"> </w:t>
            </w:r>
            <w:r>
              <w:rPr>
                <w:rFonts w:ascii="Arial" w:eastAsia="Arial" w:hAnsi="Arial" w:cs="Arial"/>
              </w:rPr>
              <w:t>theologische</w:t>
            </w:r>
            <w:r>
              <w:rPr>
                <w:rFonts w:ascii="Arial" w:eastAsia="Arial" w:hAnsi="Arial" w:cs="Arial"/>
                <w:spacing w:val="22"/>
              </w:rPr>
              <w:t xml:space="preserve"> </w:t>
            </w:r>
            <w:r>
              <w:rPr>
                <w:rFonts w:ascii="Arial" w:eastAsia="Arial" w:hAnsi="Arial" w:cs="Arial"/>
              </w:rPr>
              <w:t>Aspekte</w:t>
            </w:r>
            <w:r>
              <w:rPr>
                <w:rFonts w:ascii="Arial" w:eastAsia="Arial" w:hAnsi="Arial" w:cs="Arial"/>
                <w:spacing w:val="21"/>
              </w:rPr>
              <w:t xml:space="preserve"> </w:t>
            </w:r>
            <w:r>
              <w:rPr>
                <w:rFonts w:ascii="Arial" w:eastAsia="Arial" w:hAnsi="Arial" w:cs="Arial"/>
              </w:rPr>
              <w:t>unter</w:t>
            </w:r>
            <w:r>
              <w:rPr>
                <w:rFonts w:ascii="Arial" w:eastAsia="Arial" w:hAnsi="Arial" w:cs="Arial"/>
                <w:spacing w:val="14"/>
              </w:rPr>
              <w:t xml:space="preserve"> </w:t>
            </w:r>
            <w:r>
              <w:rPr>
                <w:rFonts w:ascii="Arial" w:eastAsia="Arial" w:hAnsi="Arial" w:cs="Arial"/>
              </w:rPr>
              <w:t>Bezug</w:t>
            </w:r>
            <w:r>
              <w:rPr>
                <w:rFonts w:ascii="Arial" w:eastAsia="Arial" w:hAnsi="Arial" w:cs="Arial"/>
                <w:spacing w:val="17"/>
              </w:rPr>
              <w:t xml:space="preserve"> </w:t>
            </w:r>
            <w:r>
              <w:rPr>
                <w:rFonts w:ascii="Arial" w:eastAsia="Arial" w:hAnsi="Arial" w:cs="Arial"/>
              </w:rPr>
              <w:t>auf</w:t>
            </w:r>
            <w:r>
              <w:rPr>
                <w:rFonts w:ascii="Arial" w:eastAsia="Arial" w:hAnsi="Arial" w:cs="Arial"/>
                <w:spacing w:val="12"/>
              </w:rPr>
              <w:t xml:space="preserve"> </w:t>
            </w:r>
            <w:r>
              <w:rPr>
                <w:rFonts w:ascii="Arial" w:eastAsia="Arial" w:hAnsi="Arial" w:cs="Arial"/>
              </w:rPr>
              <w:t>neuere</w:t>
            </w:r>
            <w:r>
              <w:rPr>
                <w:rFonts w:ascii="Arial" w:eastAsia="Arial" w:hAnsi="Arial" w:cs="Arial"/>
                <w:spacing w:val="19"/>
              </w:rPr>
              <w:t xml:space="preserve"> </w:t>
            </w:r>
            <w:r>
              <w:rPr>
                <w:rFonts w:ascii="Arial" w:eastAsia="Arial" w:hAnsi="Arial" w:cs="Arial"/>
              </w:rPr>
              <w:t>fachliche</w:t>
            </w:r>
            <w:r>
              <w:rPr>
                <w:rFonts w:ascii="Arial" w:eastAsia="Arial" w:hAnsi="Arial" w:cs="Arial"/>
                <w:spacing w:val="23"/>
              </w:rPr>
              <w:t xml:space="preserve"> </w:t>
            </w:r>
            <w:r>
              <w:rPr>
                <w:rFonts w:ascii="Arial" w:eastAsia="Arial" w:hAnsi="Arial" w:cs="Arial"/>
                <w:w w:val="103"/>
              </w:rPr>
              <w:t xml:space="preserve">Literatur </w:t>
            </w:r>
            <w:r>
              <w:rPr>
                <w:rFonts w:ascii="Arial" w:eastAsia="Arial" w:hAnsi="Arial" w:cs="Arial"/>
              </w:rPr>
              <w:t>wissenschaftlich</w:t>
            </w:r>
            <w:r>
              <w:rPr>
                <w:rFonts w:ascii="Arial" w:eastAsia="Arial" w:hAnsi="Arial" w:cs="Arial"/>
                <w:spacing w:val="41"/>
              </w:rPr>
              <w:t xml:space="preserve"> </w:t>
            </w:r>
            <w:r>
              <w:rPr>
                <w:rFonts w:ascii="Arial" w:eastAsia="Arial" w:hAnsi="Arial" w:cs="Arial"/>
              </w:rPr>
              <w:t>klären</w:t>
            </w:r>
            <w:r>
              <w:rPr>
                <w:rFonts w:ascii="Arial" w:eastAsia="Arial" w:hAnsi="Arial" w:cs="Arial"/>
                <w:spacing w:val="17"/>
              </w:rPr>
              <w:t xml:space="preserve"> </w:t>
            </w:r>
            <w:r>
              <w:rPr>
                <w:rFonts w:ascii="Arial" w:eastAsia="Arial" w:hAnsi="Arial" w:cs="Arial"/>
              </w:rPr>
              <w:t>und</w:t>
            </w:r>
            <w:r>
              <w:rPr>
                <w:rFonts w:ascii="Arial" w:eastAsia="Arial" w:hAnsi="Arial" w:cs="Arial"/>
                <w:spacing w:val="11"/>
              </w:rPr>
              <w:t xml:space="preserve"> </w:t>
            </w:r>
            <w:r>
              <w:rPr>
                <w:rFonts w:ascii="Arial" w:eastAsia="Arial" w:hAnsi="Arial" w:cs="Arial"/>
                <w:w w:val="103"/>
              </w:rPr>
              <w:t>darstellen.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tabs>
                <w:tab w:val="left" w:pos="7746"/>
                <w:tab w:val="left" w:pos="7830"/>
              </w:tabs>
              <w:spacing w:after="0" w:line="259" w:lineRule="auto"/>
              <w:ind w:right="57"/>
              <w:jc w:val="both"/>
              <w:rPr>
                <w:rFonts w:ascii="Arial" w:eastAsia="Arial" w:hAnsi="Arial" w:cs="Arial"/>
              </w:rPr>
            </w:pPr>
            <w:r>
              <w:rPr>
                <w:rFonts w:ascii="Arial" w:eastAsia="Arial" w:hAnsi="Arial" w:cs="Arial"/>
              </w:rPr>
              <w:t>die</w:t>
            </w:r>
            <w:r>
              <w:rPr>
                <w:rFonts w:ascii="Arial" w:eastAsia="Arial" w:hAnsi="Arial" w:cs="Arial"/>
                <w:spacing w:val="18"/>
              </w:rPr>
              <w:t xml:space="preserve"> </w:t>
            </w:r>
            <w:r>
              <w:rPr>
                <w:rFonts w:ascii="Arial" w:eastAsia="Arial" w:hAnsi="Arial" w:cs="Arial"/>
                <w:b/>
              </w:rPr>
              <w:t>Bedeutung</w:t>
            </w:r>
            <w:r>
              <w:rPr>
                <w:rFonts w:ascii="Arial" w:eastAsia="Arial" w:hAnsi="Arial" w:cs="Arial"/>
                <w:b/>
                <w:spacing w:val="40"/>
              </w:rPr>
              <w:t xml:space="preserve"> </w:t>
            </w:r>
            <w:r>
              <w:rPr>
                <w:rFonts w:ascii="Arial" w:eastAsia="Arial" w:hAnsi="Arial" w:cs="Arial"/>
                <w:b/>
              </w:rPr>
              <w:t>des</w:t>
            </w:r>
            <w:r>
              <w:rPr>
                <w:rFonts w:ascii="Arial" w:eastAsia="Arial" w:hAnsi="Arial" w:cs="Arial"/>
                <w:b/>
                <w:spacing w:val="11"/>
              </w:rPr>
              <w:t xml:space="preserve"> </w:t>
            </w:r>
            <w:r>
              <w:rPr>
                <w:rFonts w:ascii="Arial" w:eastAsia="Arial" w:hAnsi="Arial" w:cs="Arial"/>
                <w:b/>
                <w:w w:val="104"/>
              </w:rPr>
              <w:t xml:space="preserve">Unterrichtsgegenstandes </w:t>
            </w:r>
            <w:r>
              <w:rPr>
                <w:rFonts w:ascii="Arial" w:eastAsia="Arial" w:hAnsi="Arial" w:cs="Arial"/>
              </w:rPr>
              <w:t>für</w:t>
            </w:r>
            <w:r>
              <w:rPr>
                <w:rFonts w:ascii="Arial" w:eastAsia="Arial" w:hAnsi="Arial" w:cs="Arial"/>
                <w:spacing w:val="10"/>
              </w:rPr>
              <w:t xml:space="preserve"> </w:t>
            </w:r>
            <w:r>
              <w:rPr>
                <w:rFonts w:ascii="Arial" w:eastAsia="Arial" w:hAnsi="Arial" w:cs="Arial"/>
              </w:rPr>
              <w:t>die</w:t>
            </w:r>
            <w:r>
              <w:rPr>
                <w:rFonts w:ascii="Arial" w:eastAsia="Arial" w:hAnsi="Arial" w:cs="Arial"/>
                <w:spacing w:val="9"/>
              </w:rPr>
              <w:t xml:space="preserve"> </w:t>
            </w:r>
            <w:r>
              <w:rPr>
                <w:rFonts w:ascii="Arial" w:eastAsia="Arial" w:hAnsi="Arial" w:cs="Arial"/>
              </w:rPr>
              <w:t>Schüler/-innen</w:t>
            </w:r>
            <w:r>
              <w:rPr>
                <w:rFonts w:ascii="Arial" w:eastAsia="Arial" w:hAnsi="Arial" w:cs="Arial"/>
                <w:spacing w:val="20"/>
              </w:rPr>
              <w:t xml:space="preserve"> </w:t>
            </w:r>
            <w:r>
              <w:rPr>
                <w:rFonts w:ascii="Arial" w:eastAsia="Arial" w:hAnsi="Arial" w:cs="Arial"/>
              </w:rPr>
              <w:t>begründen</w:t>
            </w:r>
            <w:r>
              <w:rPr>
                <w:rFonts w:ascii="Arial" w:eastAsia="Arial" w:hAnsi="Arial" w:cs="Arial"/>
                <w:spacing w:val="28"/>
              </w:rPr>
              <w:t xml:space="preserve"> </w:t>
            </w:r>
            <w:r>
              <w:rPr>
                <w:rFonts w:ascii="Arial" w:eastAsia="Arial" w:hAnsi="Arial" w:cs="Arial"/>
              </w:rPr>
              <w:t>und</w:t>
            </w:r>
            <w:r>
              <w:rPr>
                <w:rFonts w:ascii="Arial" w:eastAsia="Arial" w:hAnsi="Arial" w:cs="Arial"/>
                <w:spacing w:val="11"/>
              </w:rPr>
              <w:t xml:space="preserve"> </w:t>
            </w:r>
            <w:r>
              <w:rPr>
                <w:rFonts w:ascii="Arial" w:eastAsia="Arial" w:hAnsi="Arial" w:cs="Arial"/>
                <w:w w:val="103"/>
              </w:rPr>
              <w:t>einen</w:t>
            </w:r>
            <w:r>
              <w:rPr>
                <w:rFonts w:ascii="Arial" w:eastAsia="Arial" w:hAnsi="Arial" w:cs="Arial"/>
              </w:rPr>
              <w:t xml:space="preserve"> Bezug</w:t>
            </w:r>
            <w:r>
              <w:rPr>
                <w:rFonts w:ascii="Arial" w:eastAsia="Arial" w:hAnsi="Arial" w:cs="Arial"/>
                <w:spacing w:val="17"/>
              </w:rPr>
              <w:t xml:space="preserve"> </w:t>
            </w:r>
            <w:r>
              <w:rPr>
                <w:rFonts w:ascii="Arial" w:eastAsia="Arial" w:hAnsi="Arial" w:cs="Arial"/>
              </w:rPr>
              <w:t>zu</w:t>
            </w:r>
            <w:r>
              <w:rPr>
                <w:rFonts w:ascii="Arial" w:eastAsia="Arial" w:hAnsi="Arial" w:cs="Arial"/>
                <w:spacing w:val="8"/>
              </w:rPr>
              <w:t xml:space="preserve"> </w:t>
            </w:r>
            <w:r>
              <w:rPr>
                <w:rFonts w:ascii="Arial" w:eastAsia="Arial" w:hAnsi="Arial" w:cs="Arial"/>
              </w:rPr>
              <w:t>einschlägigen</w:t>
            </w:r>
            <w:r>
              <w:rPr>
                <w:rFonts w:ascii="Arial" w:eastAsia="Arial" w:hAnsi="Arial" w:cs="Arial"/>
                <w:spacing w:val="35"/>
              </w:rPr>
              <w:t xml:space="preserve"> </w:t>
            </w:r>
            <w:r>
              <w:rPr>
                <w:rFonts w:ascii="Arial" w:eastAsia="Arial" w:hAnsi="Arial" w:cs="Arial"/>
              </w:rPr>
              <w:t>religionsdidaktischen</w:t>
            </w:r>
            <w:r>
              <w:rPr>
                <w:rFonts w:ascii="Arial" w:eastAsia="Arial" w:hAnsi="Arial" w:cs="Arial"/>
                <w:spacing w:val="49"/>
              </w:rPr>
              <w:t xml:space="preserve"> </w:t>
            </w:r>
            <w:r>
              <w:rPr>
                <w:rFonts w:ascii="Arial" w:eastAsia="Arial" w:hAnsi="Arial" w:cs="Arial"/>
              </w:rPr>
              <w:t>Theorien</w:t>
            </w:r>
            <w:r>
              <w:rPr>
                <w:rFonts w:ascii="Arial" w:eastAsia="Arial" w:hAnsi="Arial" w:cs="Arial"/>
                <w:spacing w:val="23"/>
              </w:rPr>
              <w:t xml:space="preserve"> </w:t>
            </w:r>
            <w:r>
              <w:rPr>
                <w:rFonts w:ascii="Arial" w:eastAsia="Arial" w:hAnsi="Arial" w:cs="Arial"/>
              </w:rPr>
              <w:t>und</w:t>
            </w:r>
            <w:r>
              <w:rPr>
                <w:rFonts w:ascii="Arial" w:eastAsia="Arial" w:hAnsi="Arial" w:cs="Arial"/>
                <w:spacing w:val="11"/>
              </w:rPr>
              <w:t xml:space="preserve"> </w:t>
            </w:r>
            <w:r>
              <w:rPr>
                <w:rFonts w:ascii="Arial" w:eastAsia="Arial" w:hAnsi="Arial" w:cs="Arial"/>
              </w:rPr>
              <w:t>Modellen</w:t>
            </w:r>
            <w:r>
              <w:rPr>
                <w:rFonts w:ascii="Arial" w:eastAsia="Arial" w:hAnsi="Arial" w:cs="Arial"/>
                <w:spacing w:val="24"/>
              </w:rPr>
              <w:t xml:space="preserve"> </w:t>
            </w:r>
            <w:r>
              <w:rPr>
                <w:rFonts w:ascii="Arial" w:eastAsia="Arial" w:hAnsi="Arial" w:cs="Arial"/>
                <w:w w:val="103"/>
              </w:rPr>
              <w:t>herstellen.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spacing w:after="0" w:line="240" w:lineRule="auto"/>
        <w:jc w:val="both"/>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10519" w:type="dxa"/>
        <w:tblInd w:w="108" w:type="dxa"/>
        <w:tblLayout w:type="fixed"/>
        <w:tblLook w:val="04A0" w:firstRow="1" w:lastRow="0" w:firstColumn="1" w:lastColumn="0" w:noHBand="0" w:noVBand="1"/>
      </w:tblPr>
      <w:tblGrid>
        <w:gridCol w:w="10519"/>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evangelische Theologie</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7"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7"/>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8"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p>
      <w:pPr>
        <w:spacing w:after="0" w:line="240" w:lineRule="auto"/>
        <w:rPr>
          <w:rFonts w:ascii="Arial" w:eastAsia="MS Mincho" w:hAnsi="Arial" w:cs="Arial"/>
          <w:lang w:eastAsia="ja-JP"/>
        </w:rPr>
      </w:pPr>
    </w:p>
    <w:tbl>
      <w:tblPr>
        <w:tblStyle w:val="Tabellenraster"/>
        <w:tblW w:w="10335" w:type="dxa"/>
        <w:tblInd w:w="137" w:type="dxa"/>
        <w:tblLook w:val="04A0" w:firstRow="1" w:lastRow="0" w:firstColumn="1" w:lastColumn="0" w:noHBand="0" w:noVBand="1"/>
      </w:tblPr>
      <w:tblGrid>
        <w:gridCol w:w="10740"/>
      </w:tblGrid>
      <w:tr>
        <w:trPr>
          <w:trHeight w:val="2748"/>
        </w:trPr>
        <w:tc>
          <w:tcPr>
            <w:tcW w:w="10335" w:type="dxa"/>
          </w:tcPr>
          <w:p>
            <w:pPr>
              <w:tabs>
                <w:tab w:val="left" w:pos="9045"/>
              </w:tabs>
              <w:ind w:left="142" w:right="317"/>
              <w:rPr>
                <w:rFonts w:ascii="Arial" w:eastAsia="MS Mincho" w:hAnsi="Arial" w:cs="Arial"/>
                <w:lang w:eastAsia="ja-JP"/>
              </w:rPr>
            </w:pPr>
            <w:r>
              <w:rPr>
                <w:rFonts w:ascii="Arial" w:eastAsia="MS Mincho" w:hAnsi="Arial" w:cs="Arial"/>
                <w:lang w:eastAsia="ja-JP"/>
              </w:rPr>
              <w:tab/>
            </w: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bookmarkStart w:id="29" w:name="_GoBack"/>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567" w:right="317" w:hanging="425"/>
              <w:rPr>
                <w:rFonts w:ascii="Arial" w:eastAsia="MS Mincho" w:hAnsi="Arial" w:cs="Arial"/>
                <w:lang w:eastAsia="ja-JP"/>
              </w:rPr>
            </w:pPr>
          </w:p>
          <w:p>
            <w:pPr>
              <w:tabs>
                <w:tab w:val="left" w:leader="underscore" w:pos="10206"/>
              </w:tabs>
              <w:ind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ind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5AF25AB-46E3-48AA-BEEC-71FDC8CF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754309">
      <w:bodyDiv w:val="1"/>
      <w:marLeft w:val="0"/>
      <w:marRight w:val="0"/>
      <w:marTop w:val="0"/>
      <w:marBottom w:val="0"/>
      <w:divBdr>
        <w:top w:val="none" w:sz="0" w:space="0" w:color="auto"/>
        <w:left w:val="none" w:sz="0" w:space="0" w:color="auto"/>
        <w:bottom w:val="none" w:sz="0" w:space="0" w:color="auto"/>
        <w:right w:val="none" w:sz="0" w:space="0" w:color="auto"/>
      </w:divBdr>
    </w:div>
    <w:div w:id="564684819">
      <w:bodyDiv w:val="1"/>
      <w:marLeft w:val="0"/>
      <w:marRight w:val="0"/>
      <w:marTop w:val="0"/>
      <w:marBottom w:val="0"/>
      <w:divBdr>
        <w:top w:val="none" w:sz="0" w:space="0" w:color="auto"/>
        <w:left w:val="none" w:sz="0" w:space="0" w:color="auto"/>
        <w:bottom w:val="none" w:sz="0" w:space="0" w:color="auto"/>
        <w:right w:val="none" w:sz="0" w:space="0" w:color="auto"/>
      </w:divBdr>
    </w:div>
    <w:div w:id="597756824">
      <w:bodyDiv w:val="1"/>
      <w:marLeft w:val="0"/>
      <w:marRight w:val="0"/>
      <w:marTop w:val="0"/>
      <w:marBottom w:val="0"/>
      <w:divBdr>
        <w:top w:val="none" w:sz="0" w:space="0" w:color="auto"/>
        <w:left w:val="none" w:sz="0" w:space="0" w:color="auto"/>
        <w:bottom w:val="none" w:sz="0" w:space="0" w:color="auto"/>
        <w:right w:val="none" w:sz="0" w:space="0" w:color="auto"/>
      </w:divBdr>
    </w:div>
    <w:div w:id="655961063">
      <w:bodyDiv w:val="1"/>
      <w:marLeft w:val="0"/>
      <w:marRight w:val="0"/>
      <w:marTop w:val="0"/>
      <w:marBottom w:val="0"/>
      <w:divBdr>
        <w:top w:val="none" w:sz="0" w:space="0" w:color="auto"/>
        <w:left w:val="none" w:sz="0" w:space="0" w:color="auto"/>
        <w:bottom w:val="none" w:sz="0" w:space="0" w:color="auto"/>
        <w:right w:val="none" w:sz="0" w:space="0" w:color="auto"/>
      </w:divBdr>
    </w:div>
    <w:div w:id="699362119">
      <w:bodyDiv w:val="1"/>
      <w:marLeft w:val="0"/>
      <w:marRight w:val="0"/>
      <w:marTop w:val="0"/>
      <w:marBottom w:val="0"/>
      <w:divBdr>
        <w:top w:val="none" w:sz="0" w:space="0" w:color="auto"/>
        <w:left w:val="none" w:sz="0" w:space="0" w:color="auto"/>
        <w:bottom w:val="none" w:sz="0" w:space="0" w:color="auto"/>
        <w:right w:val="none" w:sz="0" w:space="0" w:color="auto"/>
      </w:divBdr>
    </w:div>
    <w:div w:id="1277562032">
      <w:bodyDiv w:val="1"/>
      <w:marLeft w:val="0"/>
      <w:marRight w:val="0"/>
      <w:marTop w:val="0"/>
      <w:marBottom w:val="0"/>
      <w:divBdr>
        <w:top w:val="none" w:sz="0" w:space="0" w:color="auto"/>
        <w:left w:val="none" w:sz="0" w:space="0" w:color="auto"/>
        <w:bottom w:val="none" w:sz="0" w:space="0" w:color="auto"/>
        <w:right w:val="none" w:sz="0" w:space="0" w:color="auto"/>
      </w:divBdr>
    </w:div>
    <w:div w:id="1404571975">
      <w:bodyDiv w:val="1"/>
      <w:marLeft w:val="0"/>
      <w:marRight w:val="0"/>
      <w:marTop w:val="0"/>
      <w:marBottom w:val="0"/>
      <w:divBdr>
        <w:top w:val="none" w:sz="0" w:space="0" w:color="auto"/>
        <w:left w:val="none" w:sz="0" w:space="0" w:color="auto"/>
        <w:bottom w:val="none" w:sz="0" w:space="0" w:color="auto"/>
        <w:right w:val="none" w:sz="0" w:space="0" w:color="auto"/>
      </w:divBdr>
    </w:div>
    <w:div w:id="190116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2E2AD-2FE7-4F94-B78B-FCED89C4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9</cp:revision>
  <cp:lastPrinted>2018-02-13T09:32:00Z</cp:lastPrinted>
  <dcterms:created xsi:type="dcterms:W3CDTF">2022-11-09T09:46:00Z</dcterms:created>
  <dcterms:modified xsi:type="dcterms:W3CDTF">2024-09-18T06:41:00Z</dcterms:modified>
</cp:coreProperties>
</file>